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59" w:rsidRPr="00C71834" w:rsidRDefault="004B562A" w:rsidP="00C71834">
      <w:pPr>
        <w:spacing w:after="0" w:line="240" w:lineRule="auto"/>
        <w:jc w:val="center"/>
        <w:rPr>
          <w:b/>
        </w:rPr>
      </w:pPr>
      <w:r w:rsidRPr="00C71834">
        <w:rPr>
          <w:b/>
        </w:rPr>
        <w:t>INTEGRUOJAMOS SO</w:t>
      </w:r>
      <w:bookmarkStart w:id="0" w:name="_GoBack"/>
      <w:bookmarkEnd w:id="0"/>
      <w:r w:rsidRPr="00C71834">
        <w:rPr>
          <w:b/>
        </w:rPr>
        <w:t>CIALINIŲ EMOCINIŲ ĮGŪDŽIŲ UGDYMO PROGRAMOS KIMOCHIS (II DALIS) ĮGYVENDINIMO JONAVOS VAIKŲ LOPŠELYJE-DARŽELYJE “SAULUTĖ” 2022 M. RUGSĖJO – GRUODŽIO MĖN. ATASKAITA</w:t>
      </w:r>
    </w:p>
    <w:p w:rsidR="00B35F59" w:rsidRDefault="00B35F59" w:rsidP="004B562A">
      <w:pPr>
        <w:spacing w:before="120" w:after="0" w:line="240" w:lineRule="auto"/>
        <w:ind w:firstLine="720"/>
        <w:jc w:val="both"/>
      </w:pPr>
      <w:r>
        <w:rPr>
          <w:b/>
        </w:rPr>
        <w:t>Poreikio analizė.</w:t>
      </w:r>
      <w:r w:rsidRPr="00A1180A">
        <w:t xml:space="preserve"> Geri socialiniai emociniai įgūdžiai kartais vadinamas trūkstama grandimi, kuri susieja akademines žinias su sėkme gyvenime. Socialinės emocinės kompetencijos apima gebėjimą jausti, suprasti kitų žmonių jausmus, valdyti nuotaiką bei kontroliuoti impulsus, susidoroti su frustracija bei kasdienio gyvenimo reikalavimais, gebėjimą dirbti su kitais, produktyviai mokytis, atlikti svarbiausius vaidmenis šeimoje, bendruomenėje, darbo vietoje. Ankstyvas socialinių emocinių įgūdžių ugdymas yra efektyviausias ir daro teigiamą įtaką vaikų psichikos sveikatai. </w:t>
      </w:r>
    </w:p>
    <w:p w:rsidR="00B35F59" w:rsidRDefault="00B35F59" w:rsidP="00B35F59">
      <w:pPr>
        <w:spacing w:after="0" w:line="240" w:lineRule="auto"/>
        <w:ind w:firstLine="450"/>
        <w:jc w:val="both"/>
      </w:pPr>
      <w:r>
        <w:t>L</w:t>
      </w:r>
      <w:r w:rsidRPr="00A1180A">
        <w:t>opšelyje</w:t>
      </w:r>
      <w:r>
        <w:t>-</w:t>
      </w:r>
      <w:r w:rsidRPr="00A1180A">
        <w:t>darželyje</w:t>
      </w:r>
      <w:r>
        <w:t xml:space="preserve"> „Saulutė“</w:t>
      </w:r>
      <w:r w:rsidRPr="00A1180A">
        <w:t xml:space="preserve"> siekiant ugdyti vaikų socialines emocines kompetencijas </w:t>
      </w:r>
      <w:r>
        <w:t>nuo 2018 m. į</w:t>
      </w:r>
      <w:r w:rsidRPr="00A1180A">
        <w:t>gyvendin</w:t>
      </w:r>
      <w:r>
        <w:t>ama</w:t>
      </w:r>
      <w:r w:rsidRPr="00A1180A">
        <w:t xml:space="preserve"> Kimochis integruojama socialinių emocinių įgūdžių ugdymo programa, skirta ikimokyklinio, priešmokyklinio ir pradinio amžiaus vaikams</w:t>
      </w:r>
      <w:r>
        <w:t>. Programą vykdo psichologė ir socialinė pedagogė bendradarbiaudamos su grupių mokytojais. Programa vykdoma visose darželio grupėse.</w:t>
      </w:r>
      <w:r w:rsidRPr="00050842">
        <w:t xml:space="preserve"> </w:t>
      </w:r>
      <w:r w:rsidRPr="00A1180A">
        <w:t xml:space="preserve">Programa </w:t>
      </w:r>
      <w:r>
        <w:t xml:space="preserve">lietuvių kalba </w:t>
      </w:r>
      <w:r w:rsidRPr="00A1180A">
        <w:t>parengta 25 savaičių laikotarpiui</w:t>
      </w:r>
      <w:r>
        <w:t xml:space="preserve"> (visiems mokslo metams)</w:t>
      </w:r>
      <w:r w:rsidRPr="00A1180A">
        <w:t xml:space="preserve">, užsiėmimai vedami </w:t>
      </w:r>
      <w:r>
        <w:t>1-2</w:t>
      </w:r>
      <w:r w:rsidRPr="00A1180A">
        <w:t xml:space="preserve"> kartus per savaitę po 10-15 min. </w:t>
      </w:r>
    </w:p>
    <w:p w:rsidR="00B35F59" w:rsidRDefault="00B35F59" w:rsidP="00B35F59">
      <w:pPr>
        <w:spacing w:after="0" w:line="240" w:lineRule="auto"/>
        <w:ind w:firstLine="450"/>
        <w:jc w:val="both"/>
      </w:pPr>
      <w:r>
        <w:t>Mokytojai ir tėvai jau pastebi programos naudą vaikų socialiniams emociniams įgūdžiams.</w:t>
      </w:r>
      <w:r w:rsidRPr="008E0B83">
        <w:t xml:space="preserve"> </w:t>
      </w:r>
      <w:r>
        <w:t>Siekiant patikrinti programos efektyvumą, dviem priešmokyklinio ugdymo grupių mokytojams buvo pateikta anketa, kurioje jie turėjo pažymėti, kurie vaikų socialiniai emociniai įgūdžiai yra geriausiai išvystyti, o kurie – silpniau. Mokytojos galėjo pasirinkti, kiek procentų tam tikras įgūdis būdingas jos grupės vaikams, buvo apskaičiuotas abiejų grupių vidurkis. Rezultatai atskleidė 1 lentelėje išvardintus stipriuosius įgūdžius:</w:t>
      </w:r>
    </w:p>
    <w:p w:rsidR="00B35F59" w:rsidRDefault="00B35F59" w:rsidP="00B35F59">
      <w:pPr>
        <w:spacing w:after="0" w:line="240" w:lineRule="auto"/>
        <w:ind w:firstLine="450"/>
        <w:jc w:val="both"/>
        <w:rPr>
          <w:b/>
        </w:rPr>
      </w:pPr>
    </w:p>
    <w:p w:rsidR="00B35F59" w:rsidRPr="008E0B83" w:rsidRDefault="00B35F59" w:rsidP="00B35F59">
      <w:pPr>
        <w:spacing w:after="0" w:line="240" w:lineRule="auto"/>
        <w:ind w:firstLine="450"/>
        <w:jc w:val="center"/>
        <w:rPr>
          <w:b/>
        </w:rPr>
      </w:pPr>
      <w:r w:rsidRPr="008E0B83">
        <w:rPr>
          <w:b/>
        </w:rPr>
        <w:t>1 lentelė. Stipriausi socialiniai emociniai įgūdžiai.</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3"/>
        <w:gridCol w:w="1701"/>
      </w:tblGrid>
      <w:tr w:rsidR="00B35F59" w:rsidRPr="008E0B83" w:rsidTr="00057092">
        <w:trPr>
          <w:trHeight w:val="324"/>
        </w:trPr>
        <w:tc>
          <w:tcPr>
            <w:tcW w:w="7943" w:type="dxa"/>
            <w:shd w:val="clear" w:color="auto" w:fill="auto"/>
            <w:vAlign w:val="center"/>
          </w:tcPr>
          <w:p w:rsidR="00B35F59" w:rsidRPr="008E0B83" w:rsidRDefault="00B35F59" w:rsidP="00384B9D">
            <w:pPr>
              <w:spacing w:after="0" w:line="240" w:lineRule="auto"/>
              <w:jc w:val="center"/>
              <w:rPr>
                <w:rFonts w:eastAsia="Times New Roman"/>
                <w:b/>
              </w:rPr>
            </w:pPr>
            <w:r w:rsidRPr="008E0B83">
              <w:rPr>
                <w:rFonts w:eastAsia="Times New Roman"/>
                <w:b/>
              </w:rPr>
              <w:t>Socialinis emocinis įgūdis</w:t>
            </w:r>
          </w:p>
        </w:tc>
        <w:tc>
          <w:tcPr>
            <w:tcW w:w="1701" w:type="dxa"/>
            <w:shd w:val="clear" w:color="auto" w:fill="auto"/>
            <w:noWrap/>
            <w:vAlign w:val="center"/>
          </w:tcPr>
          <w:p w:rsidR="00B35F59" w:rsidRPr="008E0B83" w:rsidRDefault="00B35F59" w:rsidP="00384B9D">
            <w:pPr>
              <w:spacing w:after="0" w:line="240" w:lineRule="auto"/>
              <w:jc w:val="center"/>
              <w:rPr>
                <w:rFonts w:eastAsia="Times New Roman"/>
                <w:b/>
              </w:rPr>
            </w:pPr>
            <w:r w:rsidRPr="008E0B83">
              <w:rPr>
                <w:rFonts w:eastAsia="Times New Roman"/>
                <w:b/>
              </w:rPr>
              <w:t>Išreikštas procentais</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Naudoja jausmų žodyną plačiau nei linksmas, liūdnas, piktas.</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8</w:t>
            </w:r>
            <w:r w:rsidRPr="008E0B83">
              <w:rPr>
                <w:rFonts w:eastAsia="Times New Roman"/>
              </w:rPr>
              <w:t>0</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Siūlo pagalbą draugams, suaugusiesiems.</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8</w:t>
            </w:r>
            <w:r w:rsidRPr="008E0B83">
              <w:rPr>
                <w:rFonts w:eastAsia="Times New Roman"/>
              </w:rPr>
              <w:t>0</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Patys įsitraukia į žaidimą ar pokalbį.</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75</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Įtraukia kitus vaikus į žaidimą ar pokalbį.</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75</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Geba susipažinti ir pradėti bendravimą.</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75</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Žino, kaip reikia elgtis su nepažįstamais suaugusiaisiais.</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75</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Vaikai pagarbiai bendrauja ir bendradarbiauja su suaugusiaisiais.</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75</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Supranta ir galėtų įvardinti kito jausmus, paaiškinti  kas juos sukėlė.</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w:t>
            </w:r>
            <w:r w:rsidRPr="008E0B83">
              <w:rPr>
                <w:rFonts w:eastAsia="Times New Roman"/>
              </w:rPr>
              <w:t>0</w:t>
            </w:r>
          </w:p>
        </w:tc>
      </w:tr>
      <w:tr w:rsidR="00B35F59" w:rsidRPr="008E0B83" w:rsidTr="00057092">
        <w:trPr>
          <w:trHeight w:val="324"/>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Bendraudami emocijų išraiškai naudoja „Aš teiginius“.</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w:t>
            </w:r>
            <w:r w:rsidRPr="008E0B83">
              <w:rPr>
                <w:rFonts w:eastAsia="Times New Roman"/>
              </w:rPr>
              <w:t>0</w:t>
            </w:r>
          </w:p>
        </w:tc>
      </w:tr>
      <w:tr w:rsidR="00B35F59" w:rsidRPr="008E0B83" w:rsidTr="00057092">
        <w:trPr>
          <w:trHeight w:val="318"/>
        </w:trPr>
        <w:tc>
          <w:tcPr>
            <w:tcW w:w="7943" w:type="dxa"/>
            <w:shd w:val="clear" w:color="auto" w:fill="auto"/>
            <w:vAlign w:val="center"/>
            <w:hideMark/>
          </w:tcPr>
          <w:p w:rsidR="00B35F59" w:rsidRPr="00AF46A0" w:rsidRDefault="00B35F59" w:rsidP="00384B9D">
            <w:pPr>
              <w:spacing w:after="0" w:line="240" w:lineRule="auto"/>
              <w:rPr>
                <w:rFonts w:eastAsia="Times New Roman"/>
              </w:rPr>
            </w:pPr>
            <w:r w:rsidRPr="00AF46A0">
              <w:rPr>
                <w:rFonts w:eastAsia="Times New Roman"/>
              </w:rPr>
              <w:t>Moka atpažinti situacijas, kai galima pasakyti kitam komplimentą ir jį pasakyti.</w:t>
            </w:r>
          </w:p>
        </w:tc>
        <w:tc>
          <w:tcPr>
            <w:tcW w:w="1701" w:type="dxa"/>
            <w:shd w:val="clear" w:color="auto" w:fill="auto"/>
            <w:noWrap/>
            <w:vAlign w:val="center"/>
            <w:hideMark/>
          </w:tcPr>
          <w:p w:rsidR="00B35F59" w:rsidRPr="00AF46A0" w:rsidRDefault="00B35F59" w:rsidP="00384B9D">
            <w:pPr>
              <w:spacing w:after="0" w:line="240" w:lineRule="auto"/>
              <w:jc w:val="center"/>
              <w:rPr>
                <w:rFonts w:eastAsia="Times New Roman"/>
              </w:rPr>
            </w:pPr>
            <w:r w:rsidRPr="00AF46A0">
              <w:rPr>
                <w:rFonts w:eastAsia="Times New Roman"/>
              </w:rPr>
              <w:t>7</w:t>
            </w:r>
            <w:r w:rsidRPr="008E0B83">
              <w:rPr>
                <w:rFonts w:eastAsia="Times New Roman"/>
              </w:rPr>
              <w:t>0</w:t>
            </w:r>
          </w:p>
        </w:tc>
      </w:tr>
    </w:tbl>
    <w:p w:rsidR="00B35F59" w:rsidRDefault="00B35F59" w:rsidP="00B35F59">
      <w:pPr>
        <w:spacing w:after="0" w:line="240" w:lineRule="auto"/>
        <w:ind w:firstLine="450"/>
        <w:jc w:val="both"/>
      </w:pPr>
    </w:p>
    <w:p w:rsidR="00B35F59" w:rsidRDefault="00B35F59" w:rsidP="00B35F59">
      <w:pPr>
        <w:spacing w:after="0" w:line="240" w:lineRule="auto"/>
        <w:ind w:firstLine="450"/>
        <w:jc w:val="both"/>
      </w:pPr>
      <w:r>
        <w:t xml:space="preserve">Rezultatai taip pat atskleidė silpniau išvystytus įgūdžius. 2 lentelėje matome, kad vaikams silpniau sekasi spręsti konfliktus, išlikti ramiems ir tvarkytis su stipriomis emocijomis. </w:t>
      </w:r>
    </w:p>
    <w:p w:rsidR="00B35F59" w:rsidRDefault="00B35F59" w:rsidP="00B35F59">
      <w:pPr>
        <w:spacing w:after="0" w:line="240" w:lineRule="auto"/>
        <w:ind w:firstLine="450"/>
        <w:jc w:val="center"/>
        <w:rPr>
          <w:b/>
        </w:rPr>
      </w:pPr>
    </w:p>
    <w:p w:rsidR="00B35F59" w:rsidRPr="008E0B83" w:rsidRDefault="00B35F59" w:rsidP="00B35F59">
      <w:pPr>
        <w:spacing w:after="0" w:line="240" w:lineRule="auto"/>
        <w:ind w:firstLine="450"/>
        <w:jc w:val="center"/>
        <w:rPr>
          <w:b/>
        </w:rPr>
      </w:pPr>
      <w:r>
        <w:rPr>
          <w:b/>
        </w:rPr>
        <w:t>2</w:t>
      </w:r>
      <w:r w:rsidRPr="008E0B83">
        <w:rPr>
          <w:b/>
        </w:rPr>
        <w:t xml:space="preserve"> lentelė. Stipriausi socialiniai emociniai įgūdžiai.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01"/>
      </w:tblGrid>
      <w:tr w:rsidR="00B35F59" w:rsidRPr="003236F4" w:rsidTr="00057092">
        <w:trPr>
          <w:trHeight w:val="636"/>
        </w:trPr>
        <w:tc>
          <w:tcPr>
            <w:tcW w:w="7933" w:type="dxa"/>
            <w:shd w:val="clear" w:color="auto" w:fill="auto"/>
            <w:vAlign w:val="center"/>
          </w:tcPr>
          <w:p w:rsidR="00B35F59" w:rsidRPr="008E0B83" w:rsidRDefault="00B35F59" w:rsidP="00384B9D">
            <w:pPr>
              <w:spacing w:after="0" w:line="240" w:lineRule="auto"/>
              <w:jc w:val="center"/>
              <w:rPr>
                <w:rFonts w:eastAsia="Times New Roman"/>
                <w:b/>
              </w:rPr>
            </w:pPr>
            <w:r w:rsidRPr="008E0B83">
              <w:rPr>
                <w:rFonts w:eastAsia="Times New Roman"/>
                <w:b/>
              </w:rPr>
              <w:t>Socialinis emocinis įgūdis</w:t>
            </w:r>
          </w:p>
        </w:tc>
        <w:tc>
          <w:tcPr>
            <w:tcW w:w="1701" w:type="dxa"/>
            <w:shd w:val="clear" w:color="auto" w:fill="auto"/>
            <w:noWrap/>
            <w:vAlign w:val="center"/>
          </w:tcPr>
          <w:p w:rsidR="00B35F59" w:rsidRPr="008E0B83" w:rsidRDefault="00B35F59" w:rsidP="00384B9D">
            <w:pPr>
              <w:spacing w:after="0" w:line="240" w:lineRule="auto"/>
              <w:jc w:val="center"/>
              <w:rPr>
                <w:rFonts w:eastAsia="Times New Roman"/>
                <w:b/>
              </w:rPr>
            </w:pPr>
            <w:r w:rsidRPr="008E0B83">
              <w:rPr>
                <w:rFonts w:eastAsia="Times New Roman"/>
                <w:b/>
              </w:rPr>
              <w:t>Išreikštas procentais</w:t>
            </w:r>
          </w:p>
        </w:tc>
      </w:tr>
      <w:tr w:rsidR="00B35F59" w:rsidRPr="003236F4" w:rsidTr="00057092">
        <w:trPr>
          <w:trHeight w:val="636"/>
        </w:trPr>
        <w:tc>
          <w:tcPr>
            <w:tcW w:w="7933" w:type="dxa"/>
            <w:shd w:val="clear" w:color="auto" w:fill="auto"/>
            <w:vAlign w:val="center"/>
            <w:hideMark/>
          </w:tcPr>
          <w:p w:rsidR="00B35F59" w:rsidRPr="003236F4" w:rsidRDefault="00B35F59" w:rsidP="00384B9D">
            <w:pPr>
              <w:spacing w:after="0" w:line="240" w:lineRule="auto"/>
              <w:rPr>
                <w:rFonts w:eastAsia="Times New Roman"/>
              </w:rPr>
            </w:pPr>
            <w:r w:rsidRPr="003236F4">
              <w:rPr>
                <w:rFonts w:eastAsia="Times New Roman"/>
              </w:rPr>
              <w:t>Geba tinkamai nuspręsti, kada konfliktą gali išspręsti savarankiškai ir kada reikia kreiptis pagalbos į suaugusiuosius.</w:t>
            </w:r>
          </w:p>
        </w:tc>
        <w:tc>
          <w:tcPr>
            <w:tcW w:w="1701" w:type="dxa"/>
            <w:shd w:val="clear" w:color="auto" w:fill="auto"/>
            <w:noWrap/>
            <w:vAlign w:val="center"/>
            <w:hideMark/>
          </w:tcPr>
          <w:p w:rsidR="00B35F59" w:rsidRPr="003236F4" w:rsidRDefault="00B35F59" w:rsidP="00384B9D">
            <w:pPr>
              <w:spacing w:after="0" w:line="240" w:lineRule="auto"/>
              <w:jc w:val="center"/>
              <w:rPr>
                <w:rFonts w:eastAsia="Times New Roman"/>
              </w:rPr>
            </w:pPr>
            <w:r w:rsidRPr="003236F4">
              <w:rPr>
                <w:rFonts w:eastAsia="Times New Roman"/>
              </w:rPr>
              <w:t>5</w:t>
            </w:r>
            <w:r>
              <w:rPr>
                <w:rFonts w:eastAsia="Times New Roman"/>
              </w:rPr>
              <w:t>0</w:t>
            </w:r>
          </w:p>
        </w:tc>
      </w:tr>
      <w:tr w:rsidR="00B35F59" w:rsidRPr="003236F4" w:rsidTr="00057092">
        <w:trPr>
          <w:trHeight w:val="324"/>
        </w:trPr>
        <w:tc>
          <w:tcPr>
            <w:tcW w:w="7933" w:type="dxa"/>
            <w:shd w:val="clear" w:color="auto" w:fill="auto"/>
            <w:vAlign w:val="center"/>
            <w:hideMark/>
          </w:tcPr>
          <w:p w:rsidR="00B35F59" w:rsidRPr="003236F4" w:rsidRDefault="00B35F59" w:rsidP="00384B9D">
            <w:pPr>
              <w:spacing w:after="0" w:line="240" w:lineRule="auto"/>
              <w:rPr>
                <w:rFonts w:eastAsia="Times New Roman"/>
              </w:rPr>
            </w:pPr>
            <w:r w:rsidRPr="003236F4">
              <w:rPr>
                <w:rFonts w:eastAsia="Times New Roman"/>
              </w:rPr>
              <w:t>Tinkamai sprendžia tarpusavio konfliktus.</w:t>
            </w:r>
          </w:p>
        </w:tc>
        <w:tc>
          <w:tcPr>
            <w:tcW w:w="1701" w:type="dxa"/>
            <w:shd w:val="clear" w:color="auto" w:fill="auto"/>
            <w:noWrap/>
            <w:vAlign w:val="center"/>
            <w:hideMark/>
          </w:tcPr>
          <w:p w:rsidR="00B35F59" w:rsidRPr="003236F4" w:rsidRDefault="00B35F59" w:rsidP="00384B9D">
            <w:pPr>
              <w:spacing w:after="0" w:line="240" w:lineRule="auto"/>
              <w:jc w:val="center"/>
              <w:rPr>
                <w:rFonts w:eastAsia="Times New Roman"/>
              </w:rPr>
            </w:pPr>
            <w:r w:rsidRPr="003236F4">
              <w:rPr>
                <w:rFonts w:eastAsia="Times New Roman"/>
              </w:rPr>
              <w:t>5</w:t>
            </w:r>
            <w:r>
              <w:rPr>
                <w:rFonts w:eastAsia="Times New Roman"/>
              </w:rPr>
              <w:t>0</w:t>
            </w:r>
          </w:p>
        </w:tc>
      </w:tr>
      <w:tr w:rsidR="00B35F59" w:rsidRPr="003236F4" w:rsidTr="00057092">
        <w:trPr>
          <w:trHeight w:val="324"/>
        </w:trPr>
        <w:tc>
          <w:tcPr>
            <w:tcW w:w="7933" w:type="dxa"/>
            <w:shd w:val="clear" w:color="auto" w:fill="auto"/>
            <w:vAlign w:val="center"/>
            <w:hideMark/>
          </w:tcPr>
          <w:p w:rsidR="00B35F59" w:rsidRPr="003236F4" w:rsidRDefault="00B35F59" w:rsidP="00384B9D">
            <w:pPr>
              <w:spacing w:after="0" w:line="240" w:lineRule="auto"/>
              <w:rPr>
                <w:rFonts w:eastAsia="Times New Roman"/>
              </w:rPr>
            </w:pPr>
            <w:r w:rsidRPr="003236F4">
              <w:rPr>
                <w:rFonts w:eastAsia="Times New Roman"/>
              </w:rPr>
              <w:t>Stengiasi išspręsti problemas prieš pakviesdami suaugusįjį.</w:t>
            </w:r>
          </w:p>
        </w:tc>
        <w:tc>
          <w:tcPr>
            <w:tcW w:w="1701" w:type="dxa"/>
            <w:shd w:val="clear" w:color="auto" w:fill="auto"/>
            <w:noWrap/>
            <w:vAlign w:val="center"/>
            <w:hideMark/>
          </w:tcPr>
          <w:p w:rsidR="00B35F59" w:rsidRPr="003236F4" w:rsidRDefault="00B35F59" w:rsidP="00384B9D">
            <w:pPr>
              <w:spacing w:after="0" w:line="240" w:lineRule="auto"/>
              <w:jc w:val="center"/>
              <w:rPr>
                <w:rFonts w:eastAsia="Times New Roman"/>
              </w:rPr>
            </w:pPr>
            <w:r w:rsidRPr="003236F4">
              <w:rPr>
                <w:rFonts w:eastAsia="Times New Roman"/>
              </w:rPr>
              <w:t>5</w:t>
            </w:r>
            <w:r>
              <w:rPr>
                <w:rFonts w:eastAsia="Times New Roman"/>
              </w:rPr>
              <w:t>0</w:t>
            </w:r>
          </w:p>
        </w:tc>
      </w:tr>
      <w:tr w:rsidR="00B35F59" w:rsidRPr="003236F4" w:rsidTr="00057092">
        <w:trPr>
          <w:trHeight w:val="324"/>
        </w:trPr>
        <w:tc>
          <w:tcPr>
            <w:tcW w:w="7933" w:type="dxa"/>
            <w:shd w:val="clear" w:color="auto" w:fill="auto"/>
            <w:vAlign w:val="center"/>
            <w:hideMark/>
          </w:tcPr>
          <w:p w:rsidR="00B35F59" w:rsidRPr="003236F4" w:rsidRDefault="00B35F59" w:rsidP="00384B9D">
            <w:pPr>
              <w:spacing w:after="0" w:line="240" w:lineRule="auto"/>
              <w:rPr>
                <w:rFonts w:eastAsia="Times New Roman"/>
              </w:rPr>
            </w:pPr>
            <w:r w:rsidRPr="003236F4">
              <w:rPr>
                <w:rFonts w:eastAsia="Times New Roman"/>
              </w:rPr>
              <w:lastRenderedPageBreak/>
              <w:t xml:space="preserve">Moka atpažinti patyčių elgesį ir tinkamai reaguoti į jį. </w:t>
            </w:r>
          </w:p>
        </w:tc>
        <w:tc>
          <w:tcPr>
            <w:tcW w:w="1701" w:type="dxa"/>
            <w:shd w:val="clear" w:color="auto" w:fill="auto"/>
            <w:noWrap/>
            <w:vAlign w:val="center"/>
            <w:hideMark/>
          </w:tcPr>
          <w:p w:rsidR="00B35F59" w:rsidRPr="003236F4" w:rsidRDefault="00B35F59" w:rsidP="00384B9D">
            <w:pPr>
              <w:spacing w:after="0" w:line="240" w:lineRule="auto"/>
              <w:jc w:val="center"/>
              <w:rPr>
                <w:rFonts w:eastAsia="Times New Roman"/>
              </w:rPr>
            </w:pPr>
            <w:r w:rsidRPr="003236F4">
              <w:rPr>
                <w:rFonts w:eastAsia="Times New Roman"/>
              </w:rPr>
              <w:t>5</w:t>
            </w:r>
            <w:r>
              <w:rPr>
                <w:rFonts w:eastAsia="Times New Roman"/>
              </w:rPr>
              <w:t>0</w:t>
            </w:r>
          </w:p>
        </w:tc>
      </w:tr>
      <w:tr w:rsidR="00B35F59" w:rsidRPr="003236F4" w:rsidTr="00057092">
        <w:trPr>
          <w:trHeight w:val="324"/>
        </w:trPr>
        <w:tc>
          <w:tcPr>
            <w:tcW w:w="7933" w:type="dxa"/>
            <w:shd w:val="clear" w:color="auto" w:fill="auto"/>
            <w:vAlign w:val="center"/>
            <w:hideMark/>
          </w:tcPr>
          <w:p w:rsidR="00B35F59" w:rsidRPr="003236F4" w:rsidRDefault="00B35F59" w:rsidP="00384B9D">
            <w:pPr>
              <w:spacing w:after="0" w:line="240" w:lineRule="auto"/>
              <w:rPr>
                <w:rFonts w:eastAsia="Times New Roman"/>
              </w:rPr>
            </w:pPr>
            <w:r w:rsidRPr="003236F4">
              <w:rPr>
                <w:rFonts w:eastAsia="Times New Roman"/>
              </w:rPr>
              <w:t>Naudoja ramų balso toną ir veido išraišką emocinėse situacijose</w:t>
            </w:r>
          </w:p>
        </w:tc>
        <w:tc>
          <w:tcPr>
            <w:tcW w:w="1701" w:type="dxa"/>
            <w:shd w:val="clear" w:color="auto" w:fill="auto"/>
            <w:noWrap/>
            <w:vAlign w:val="center"/>
            <w:hideMark/>
          </w:tcPr>
          <w:p w:rsidR="00B35F59" w:rsidRPr="003236F4" w:rsidRDefault="00B35F59" w:rsidP="00384B9D">
            <w:pPr>
              <w:spacing w:after="0" w:line="240" w:lineRule="auto"/>
              <w:jc w:val="center"/>
              <w:rPr>
                <w:rFonts w:eastAsia="Times New Roman"/>
              </w:rPr>
            </w:pPr>
            <w:r w:rsidRPr="003236F4">
              <w:rPr>
                <w:rFonts w:eastAsia="Times New Roman"/>
              </w:rPr>
              <w:t>45</w:t>
            </w:r>
          </w:p>
        </w:tc>
      </w:tr>
      <w:tr w:rsidR="00B35F59" w:rsidRPr="003236F4" w:rsidTr="00057092">
        <w:trPr>
          <w:trHeight w:val="324"/>
        </w:trPr>
        <w:tc>
          <w:tcPr>
            <w:tcW w:w="7933" w:type="dxa"/>
            <w:shd w:val="clear" w:color="auto" w:fill="auto"/>
            <w:vAlign w:val="center"/>
            <w:hideMark/>
          </w:tcPr>
          <w:p w:rsidR="00B35F59" w:rsidRPr="003236F4" w:rsidRDefault="00B35F59" w:rsidP="00384B9D">
            <w:pPr>
              <w:spacing w:after="0" w:line="240" w:lineRule="auto"/>
              <w:rPr>
                <w:rFonts w:eastAsia="Times New Roman"/>
              </w:rPr>
            </w:pPr>
            <w:r w:rsidRPr="003236F4">
              <w:rPr>
                <w:rFonts w:eastAsia="Times New Roman"/>
              </w:rPr>
              <w:t>Naudoja neverbalines strategijas, kad išvengtų konflikto (STOP)</w:t>
            </w:r>
          </w:p>
        </w:tc>
        <w:tc>
          <w:tcPr>
            <w:tcW w:w="1701" w:type="dxa"/>
            <w:shd w:val="clear" w:color="auto" w:fill="auto"/>
            <w:noWrap/>
            <w:vAlign w:val="center"/>
            <w:hideMark/>
          </w:tcPr>
          <w:p w:rsidR="00B35F59" w:rsidRPr="003236F4" w:rsidRDefault="00B35F59" w:rsidP="00384B9D">
            <w:pPr>
              <w:spacing w:after="0" w:line="240" w:lineRule="auto"/>
              <w:jc w:val="center"/>
              <w:rPr>
                <w:rFonts w:eastAsia="Times New Roman"/>
              </w:rPr>
            </w:pPr>
            <w:r w:rsidRPr="003236F4">
              <w:rPr>
                <w:rFonts w:eastAsia="Times New Roman"/>
              </w:rPr>
              <w:t>4</w:t>
            </w:r>
            <w:r>
              <w:rPr>
                <w:rFonts w:eastAsia="Times New Roman"/>
              </w:rPr>
              <w:t>0</w:t>
            </w:r>
          </w:p>
        </w:tc>
      </w:tr>
      <w:tr w:rsidR="00B35F59" w:rsidRPr="003236F4" w:rsidTr="00057092">
        <w:trPr>
          <w:trHeight w:val="636"/>
        </w:trPr>
        <w:tc>
          <w:tcPr>
            <w:tcW w:w="7933" w:type="dxa"/>
            <w:shd w:val="clear" w:color="auto" w:fill="auto"/>
            <w:vAlign w:val="center"/>
            <w:hideMark/>
          </w:tcPr>
          <w:p w:rsidR="00B35F59" w:rsidRPr="003236F4" w:rsidRDefault="00B35F59" w:rsidP="00384B9D">
            <w:pPr>
              <w:spacing w:after="0" w:line="240" w:lineRule="auto"/>
              <w:rPr>
                <w:rFonts w:eastAsia="Times New Roman"/>
              </w:rPr>
            </w:pPr>
            <w:r w:rsidRPr="003236F4">
              <w:rPr>
                <w:rFonts w:eastAsia="Times New Roman"/>
              </w:rPr>
              <w:t>Naudoja emocijų valdymo ir įtampą mažinančias technikas (pavyzdžiui, skaičiavimo arba gilaus kvėpavimo).</w:t>
            </w:r>
          </w:p>
        </w:tc>
        <w:tc>
          <w:tcPr>
            <w:tcW w:w="1701" w:type="dxa"/>
            <w:shd w:val="clear" w:color="auto" w:fill="auto"/>
            <w:noWrap/>
            <w:vAlign w:val="center"/>
            <w:hideMark/>
          </w:tcPr>
          <w:p w:rsidR="00B35F59" w:rsidRPr="003236F4" w:rsidRDefault="00B35F59" w:rsidP="00384B9D">
            <w:pPr>
              <w:spacing w:after="0" w:line="240" w:lineRule="auto"/>
              <w:jc w:val="center"/>
              <w:rPr>
                <w:rFonts w:eastAsia="Times New Roman"/>
              </w:rPr>
            </w:pPr>
            <w:r w:rsidRPr="003236F4">
              <w:rPr>
                <w:rFonts w:eastAsia="Times New Roman"/>
              </w:rPr>
              <w:t>4</w:t>
            </w:r>
            <w:r>
              <w:rPr>
                <w:rFonts w:eastAsia="Times New Roman"/>
              </w:rPr>
              <w:t>0</w:t>
            </w:r>
          </w:p>
        </w:tc>
      </w:tr>
    </w:tbl>
    <w:p w:rsidR="00B35F59" w:rsidRPr="00845941" w:rsidRDefault="00B35F59" w:rsidP="00B35F59">
      <w:pPr>
        <w:spacing w:after="0" w:line="240" w:lineRule="auto"/>
        <w:ind w:firstLine="450"/>
        <w:jc w:val="both"/>
      </w:pPr>
    </w:p>
    <w:p w:rsidR="00B35F59" w:rsidRDefault="00B35F59" w:rsidP="00B35F59">
      <w:pPr>
        <w:spacing w:after="0" w:line="240" w:lineRule="auto"/>
        <w:ind w:firstLine="450"/>
        <w:jc w:val="both"/>
      </w:pPr>
      <w:r w:rsidRPr="0072102D">
        <w:rPr>
          <w:b/>
        </w:rPr>
        <w:t>Poreikis:</w:t>
      </w:r>
      <w:r>
        <w:t xml:space="preserve"> pagerinti priešmokyklinio amžiaus vaikų konfliktų sprendimo ir sunkių emocijų valdymo įgūdžius.</w:t>
      </w:r>
    </w:p>
    <w:p w:rsidR="00B35F59" w:rsidRDefault="00B35F59" w:rsidP="00B35F59">
      <w:pPr>
        <w:spacing w:after="0" w:line="240" w:lineRule="auto"/>
        <w:ind w:firstLine="450"/>
        <w:jc w:val="both"/>
      </w:pPr>
      <w:r w:rsidRPr="0072102D">
        <w:rPr>
          <w:b/>
        </w:rPr>
        <w:t>Metodas.</w:t>
      </w:r>
      <w:r>
        <w:t xml:space="preserve"> Priešmokyklinio ugdymo grupėse vykdyti </w:t>
      </w:r>
      <w:r w:rsidRPr="00A1180A">
        <w:t>integruojam</w:t>
      </w:r>
      <w:r>
        <w:t>os</w:t>
      </w:r>
      <w:r w:rsidRPr="00A1180A">
        <w:t xml:space="preserve"> socialinių emocinių įgūdžių ugdymo program</w:t>
      </w:r>
      <w:r>
        <w:t>os</w:t>
      </w:r>
      <w:r w:rsidRPr="003236F4">
        <w:t xml:space="preserve"> </w:t>
      </w:r>
      <w:r w:rsidRPr="0072102D">
        <w:t>Kimochis antrąją dalį,</w:t>
      </w:r>
      <w:r>
        <w:t xml:space="preserve"> kuri skirta jau įgijusiems socialinių įgūdžių bazinės (šiuo metu darželyje vykdomos) Kimochis programos metu. Šios programos metu gilinami jau įgyti įgūdžiai, taip pat mokoma naujų dalykų. Programa yra anglų kalba, į lietuvių kalbą ji neišversta. </w:t>
      </w:r>
    </w:p>
    <w:p w:rsidR="00B35F59" w:rsidRDefault="00B35F59" w:rsidP="00B35F59">
      <w:pPr>
        <w:spacing w:after="0" w:line="240" w:lineRule="auto"/>
        <w:ind w:firstLine="450"/>
        <w:jc w:val="both"/>
      </w:pPr>
      <w:r w:rsidRPr="0072102D">
        <w:rPr>
          <w:b/>
        </w:rPr>
        <w:t>Vykdymas</w:t>
      </w:r>
      <w:r>
        <w:t>. Programa dviejose priešmokyklinėse grupėse buvo vykdoma nuo 2022 m. spalio iki gruodžio (bus tęsiama ir toliau)  1-2 kartus per savaitę. Užsiėmimus vedė ir mokytojus konsultavo psichologė J. Dirsienė.</w:t>
      </w:r>
    </w:p>
    <w:p w:rsidR="00B35F59" w:rsidRDefault="00B35F59" w:rsidP="00B35F59">
      <w:pPr>
        <w:spacing w:after="0" w:line="240" w:lineRule="auto"/>
        <w:ind w:firstLine="450"/>
        <w:jc w:val="both"/>
      </w:pPr>
      <w:r w:rsidRPr="0072102D">
        <w:rPr>
          <w:b/>
        </w:rPr>
        <w:t>Rezultatai.</w:t>
      </w:r>
      <w:r>
        <w:t xml:space="preserve"> Gruodžio pabaigoje dviem priešmokyklinio ugdymo grupių mokytojams buvo pateikta anketa, kurioje jie turėjo pažymėti, kiek procentų tam tikras įgūdis būdingas jos grupės vaikams. Buvo apskaičiuotas abiejų grupių vidurkis. Rezultatai parodė, jog konfliktų sprendimo ir sunkių emocijų valdymo įgūdžiai pagerėjo (1 paveikslas) nuo 40-50 proc. (rugsėjo mėn.) iki 60-75 proc. (gruodžio mėn.)</w:t>
      </w:r>
    </w:p>
    <w:p w:rsidR="00B35F59" w:rsidRDefault="00B35F59" w:rsidP="00B35F59">
      <w:pPr>
        <w:spacing w:after="0" w:line="240" w:lineRule="auto"/>
        <w:ind w:firstLine="450"/>
        <w:jc w:val="both"/>
      </w:pPr>
    </w:p>
    <w:p w:rsidR="00B35F59" w:rsidRDefault="00B35F59" w:rsidP="00B35F59">
      <w:pPr>
        <w:spacing w:after="0" w:line="240" w:lineRule="auto"/>
        <w:jc w:val="both"/>
      </w:pPr>
      <w:r>
        <w:rPr>
          <w:noProof/>
          <w:lang w:eastAsia="lt-LT"/>
        </w:rPr>
        <w:drawing>
          <wp:inline distT="0" distB="0" distL="0" distR="0" wp14:anchorId="000E5C9C" wp14:editId="42037D4D">
            <wp:extent cx="6121400" cy="3164840"/>
            <wp:effectExtent l="0" t="0" r="12700" b="1651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35F59" w:rsidRPr="00B5032B" w:rsidRDefault="00B35F59" w:rsidP="00B35F59">
      <w:pPr>
        <w:spacing w:after="0" w:line="240" w:lineRule="auto"/>
        <w:ind w:firstLine="450"/>
        <w:jc w:val="center"/>
        <w:rPr>
          <w:b/>
        </w:rPr>
      </w:pPr>
      <w:r w:rsidRPr="00B5032B">
        <w:rPr>
          <w:b/>
        </w:rPr>
        <w:t>1 paveikslas. Socialinių emocinių įgūdžių pokyčiai</w:t>
      </w:r>
    </w:p>
    <w:p w:rsidR="00B35F59" w:rsidRDefault="00B35F59" w:rsidP="00B35F59">
      <w:pPr>
        <w:spacing w:after="0" w:line="240" w:lineRule="auto"/>
        <w:ind w:firstLine="450"/>
        <w:jc w:val="both"/>
      </w:pPr>
    </w:p>
    <w:p w:rsidR="00384B9D" w:rsidRPr="00B35F59" w:rsidRDefault="00B35F59" w:rsidP="00C71834">
      <w:pPr>
        <w:spacing w:after="0" w:line="240" w:lineRule="auto"/>
        <w:ind w:firstLine="426"/>
        <w:jc w:val="both"/>
      </w:pPr>
      <w:r>
        <w:rPr>
          <w:b/>
        </w:rPr>
        <w:t xml:space="preserve">Išvada. </w:t>
      </w:r>
      <w:r>
        <w:t>I</w:t>
      </w:r>
      <w:r w:rsidRPr="00A1180A">
        <w:t>ntegruojam</w:t>
      </w:r>
      <w:r>
        <w:t>os</w:t>
      </w:r>
      <w:r w:rsidRPr="00A1180A">
        <w:t xml:space="preserve"> socialinių emocinių įgūdžių ugdymo program</w:t>
      </w:r>
      <w:r>
        <w:t>os</w:t>
      </w:r>
      <w:r w:rsidRPr="00B5032B">
        <w:rPr>
          <w:b/>
        </w:rPr>
        <w:t xml:space="preserve"> </w:t>
      </w:r>
      <w:r w:rsidRPr="00983300">
        <w:t>„K</w:t>
      </w:r>
      <w:r w:rsidRPr="00A1180A">
        <w:t>imochis</w:t>
      </w:r>
      <w:r>
        <w:t>“ antroji dalis pagerino priešmokyklinio amžiaus vaikų konfliktų sprendimo ir sunkių emocijų valdymo įgūdžius.</w:t>
      </w:r>
    </w:p>
    <w:sectPr w:rsidR="00384B9D" w:rsidRPr="00B35F59" w:rsidSect="000C2AD0">
      <w:pgSz w:w="11906" w:h="16838"/>
      <w:pgMar w:top="1701" w:right="1134"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F9"/>
    <w:multiLevelType w:val="hybridMultilevel"/>
    <w:tmpl w:val="7B501652"/>
    <w:lvl w:ilvl="0" w:tplc="5A84CD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430A08"/>
    <w:multiLevelType w:val="hybridMultilevel"/>
    <w:tmpl w:val="E96EAB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87"/>
    <w:rsid w:val="00057092"/>
    <w:rsid w:val="00094613"/>
    <w:rsid w:val="000C2AD0"/>
    <w:rsid w:val="00271BE7"/>
    <w:rsid w:val="00384B9D"/>
    <w:rsid w:val="004B562A"/>
    <w:rsid w:val="006C493A"/>
    <w:rsid w:val="00815487"/>
    <w:rsid w:val="008C1D5A"/>
    <w:rsid w:val="00A3423D"/>
    <w:rsid w:val="00A43D40"/>
    <w:rsid w:val="00AB107C"/>
    <w:rsid w:val="00B17B35"/>
    <w:rsid w:val="00B35F59"/>
    <w:rsid w:val="00B70AD8"/>
    <w:rsid w:val="00BA4F31"/>
    <w:rsid w:val="00C71834"/>
    <w:rsid w:val="00CD2774"/>
    <w:rsid w:val="00F80E97"/>
    <w:rsid w:val="00F91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321D"/>
  <w15:chartTrackingRefBased/>
  <w15:docId w15:val="{6C25D761-475E-48E4-A007-41975171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1BE7"/>
    <w:pPr>
      <w:spacing w:line="256" w:lineRule="auto"/>
      <w:ind w:left="720"/>
      <w:contextualSpacing/>
    </w:pPr>
    <w:rPr>
      <w:rFonts w:asciiTheme="minorHAnsi" w:hAnsiTheme="minorHAnsi" w:cstheme="minorBidi"/>
      <w:sz w:val="22"/>
      <w:szCs w:val="22"/>
    </w:rPr>
  </w:style>
  <w:style w:type="character" w:customStyle="1" w:styleId="href1">
    <w:name w:val="href1"/>
    <w:basedOn w:val="Numatytasispastraiposriftas"/>
    <w:rsid w:val="006C493A"/>
    <w:rPr>
      <w:color w:val="357D32"/>
      <w:u w:val="single"/>
    </w:rPr>
  </w:style>
  <w:style w:type="character" w:styleId="Grietas">
    <w:name w:val="Strong"/>
    <w:basedOn w:val="Numatytasispastraiposriftas"/>
    <w:uiPriority w:val="22"/>
    <w:qFormat/>
    <w:rsid w:val="006C4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A%20Saulute\Auditas%20mokytojams%20Saulu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Socialiniai emociniai įgūdžiai (%)</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bar"/>
        <c:grouping val="clustered"/>
        <c:varyColors val="0"/>
        <c:ser>
          <c:idx val="0"/>
          <c:order val="0"/>
          <c:tx>
            <c:strRef>
              <c:f>Lapas14!$B$30</c:f>
              <c:strCache>
                <c:ptCount val="1"/>
                <c:pt idx="0">
                  <c:v>Rugsėjo mėn.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Lapas14!$A$31:$A$37</c:f>
              <c:strCache>
                <c:ptCount val="7"/>
                <c:pt idx="0">
                  <c:v>Geba tinkamai nuspręsti, kada konfliktą gali išspręsti savarankiškai ir kada reikia kreiptis pagalbos į suaugusiuosius.</c:v>
                </c:pt>
                <c:pt idx="1">
                  <c:v>Tinkamai sprendžia tarpusavio konfliktus.</c:v>
                </c:pt>
                <c:pt idx="2">
                  <c:v>Stengiasi išspręsti problemas prieš pakviesdami suaugusįjį.</c:v>
                </c:pt>
                <c:pt idx="3">
                  <c:v>Moka atpažinti patyčių elgesį ir tinkamai reaguoti į jį. </c:v>
                </c:pt>
                <c:pt idx="4">
                  <c:v>Naudoja ramų balso toną ir veido išraišką emocinėse situacijose</c:v>
                </c:pt>
                <c:pt idx="5">
                  <c:v>Naudoja neverbalines strategijas, kad išvengtų konflikto (STOP)</c:v>
                </c:pt>
                <c:pt idx="6">
                  <c:v>Naudoja emocijų valdymo ir įtampą mažinančias technikas </c:v>
                </c:pt>
              </c:strCache>
            </c:strRef>
          </c:cat>
          <c:val>
            <c:numRef>
              <c:f>Lapas14!$B$31:$B$37</c:f>
              <c:numCache>
                <c:formatCode>General</c:formatCode>
                <c:ptCount val="7"/>
                <c:pt idx="0">
                  <c:v>50</c:v>
                </c:pt>
                <c:pt idx="1">
                  <c:v>50</c:v>
                </c:pt>
                <c:pt idx="2">
                  <c:v>50</c:v>
                </c:pt>
                <c:pt idx="3">
                  <c:v>50</c:v>
                </c:pt>
                <c:pt idx="4">
                  <c:v>45</c:v>
                </c:pt>
                <c:pt idx="5">
                  <c:v>40</c:v>
                </c:pt>
                <c:pt idx="6">
                  <c:v>40</c:v>
                </c:pt>
              </c:numCache>
            </c:numRef>
          </c:val>
          <c:extLst>
            <c:ext xmlns:c16="http://schemas.microsoft.com/office/drawing/2014/chart" uri="{C3380CC4-5D6E-409C-BE32-E72D297353CC}">
              <c16:uniqueId val="{00000000-588C-45E8-A01A-A817C7F6F6E0}"/>
            </c:ext>
          </c:extLst>
        </c:ser>
        <c:ser>
          <c:idx val="1"/>
          <c:order val="1"/>
          <c:tx>
            <c:strRef>
              <c:f>Lapas14!$C$30</c:f>
              <c:strCache>
                <c:ptCount val="1"/>
                <c:pt idx="0">
                  <c:v>Gruodžio mėn.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Lapas14!$A$31:$A$37</c:f>
              <c:strCache>
                <c:ptCount val="7"/>
                <c:pt idx="0">
                  <c:v>Geba tinkamai nuspręsti, kada konfliktą gali išspręsti savarankiškai ir kada reikia kreiptis pagalbos į suaugusiuosius.</c:v>
                </c:pt>
                <c:pt idx="1">
                  <c:v>Tinkamai sprendžia tarpusavio konfliktus.</c:v>
                </c:pt>
                <c:pt idx="2">
                  <c:v>Stengiasi išspręsti problemas prieš pakviesdami suaugusįjį.</c:v>
                </c:pt>
                <c:pt idx="3">
                  <c:v>Moka atpažinti patyčių elgesį ir tinkamai reaguoti į jį. </c:v>
                </c:pt>
                <c:pt idx="4">
                  <c:v>Naudoja ramų balso toną ir veido išraišką emocinėse situacijose</c:v>
                </c:pt>
                <c:pt idx="5">
                  <c:v>Naudoja neverbalines strategijas, kad išvengtų konflikto (STOP)</c:v>
                </c:pt>
                <c:pt idx="6">
                  <c:v>Naudoja emocijų valdymo ir įtampą mažinančias technikas </c:v>
                </c:pt>
              </c:strCache>
            </c:strRef>
          </c:cat>
          <c:val>
            <c:numRef>
              <c:f>Lapas14!$C$31:$C$37</c:f>
              <c:numCache>
                <c:formatCode>General</c:formatCode>
                <c:ptCount val="7"/>
                <c:pt idx="0">
                  <c:v>75</c:v>
                </c:pt>
                <c:pt idx="1">
                  <c:v>70</c:v>
                </c:pt>
                <c:pt idx="2">
                  <c:v>75</c:v>
                </c:pt>
                <c:pt idx="3">
                  <c:v>75</c:v>
                </c:pt>
                <c:pt idx="4">
                  <c:v>60</c:v>
                </c:pt>
                <c:pt idx="5">
                  <c:v>75</c:v>
                </c:pt>
                <c:pt idx="6">
                  <c:v>65</c:v>
                </c:pt>
              </c:numCache>
            </c:numRef>
          </c:val>
          <c:extLst>
            <c:ext xmlns:c16="http://schemas.microsoft.com/office/drawing/2014/chart" uri="{C3380CC4-5D6E-409C-BE32-E72D297353CC}">
              <c16:uniqueId val="{00000001-588C-45E8-A01A-A817C7F6F6E0}"/>
            </c:ext>
          </c:extLst>
        </c:ser>
        <c:dLbls>
          <c:showLegendKey val="0"/>
          <c:showVal val="0"/>
          <c:showCatName val="0"/>
          <c:showSerName val="0"/>
          <c:showPercent val="0"/>
          <c:showBubbleSize val="0"/>
        </c:dLbls>
        <c:gapWidth val="182"/>
        <c:axId val="415947360"/>
        <c:axId val="415940832"/>
      </c:barChart>
      <c:catAx>
        <c:axId val="41594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15940832"/>
        <c:crosses val="autoZero"/>
        <c:auto val="1"/>
        <c:lblAlgn val="ctr"/>
        <c:lblOffset val="100"/>
        <c:noMultiLvlLbl val="0"/>
      </c:catAx>
      <c:valAx>
        <c:axId val="415940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1594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Pages>
  <Words>2962</Words>
  <Characters>1689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Saulute</cp:lastModifiedBy>
  <cp:revision>4</cp:revision>
  <dcterms:created xsi:type="dcterms:W3CDTF">2023-02-17T14:35:00Z</dcterms:created>
  <dcterms:modified xsi:type="dcterms:W3CDTF">2023-02-17T14:50:00Z</dcterms:modified>
</cp:coreProperties>
</file>